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7D964">
      <w:pPr>
        <w:spacing w:afterLines="100"/>
        <w:rPr>
          <w:rFonts w:ascii="Times New Roman" w:hAnsi="Times New Roman" w:eastAsia="黑体"/>
          <w:kern w:val="0"/>
          <w:sz w:val="32"/>
          <w:szCs w:val="32"/>
        </w:rPr>
      </w:pPr>
      <w:r>
        <w:rPr>
          <w:rFonts w:hint="eastAsia" w:ascii="黑体" w:hAnsi="黑体" w:eastAsia="黑体" w:cs="黑体"/>
          <w:kern w:val="0"/>
          <w:sz w:val="32"/>
          <w:szCs w:val="32"/>
        </w:rPr>
        <w:t>附件2</w:t>
      </w:r>
    </w:p>
    <w:p w14:paraId="3CFAA364">
      <w:pPr>
        <w:spacing w:afterLines="100"/>
        <w:rPr>
          <w:rFonts w:ascii="Times New Roman" w:hAnsi="Times New Roman" w:eastAsia="仿宋_GB2312"/>
          <w:kern w:val="0"/>
          <w:sz w:val="32"/>
          <w:szCs w:val="32"/>
        </w:rPr>
      </w:pPr>
    </w:p>
    <w:p w14:paraId="00E8BA41">
      <w:pPr>
        <w:spacing w:afterLines="100"/>
        <w:rPr>
          <w:rFonts w:ascii="Times New Roman" w:hAnsi="Times New Roman" w:eastAsia="仿宋_GB2312"/>
          <w:kern w:val="0"/>
          <w:sz w:val="32"/>
          <w:szCs w:val="32"/>
        </w:rPr>
      </w:pPr>
    </w:p>
    <w:p w14:paraId="792B596B">
      <w:pPr>
        <w:rPr>
          <w:rFonts w:ascii="Times New Roman" w:hAnsi="Times New Roman" w:eastAsia="方正小标宋简体"/>
          <w:sz w:val="48"/>
          <w:szCs w:val="48"/>
        </w:rPr>
      </w:pPr>
    </w:p>
    <w:p w14:paraId="6A77CDBD">
      <w:pPr>
        <w:rPr>
          <w:rFonts w:ascii="Times New Roman" w:hAnsi="Times New Roman" w:eastAsia="方正小标宋简体"/>
          <w:sz w:val="48"/>
          <w:szCs w:val="48"/>
        </w:rPr>
      </w:pPr>
      <w:bookmarkStart w:id="0" w:name="_GoBack"/>
      <w:bookmarkEnd w:id="0"/>
    </w:p>
    <w:p w14:paraId="79F55D04">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1EC63A8B">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1646D69F">
      <w:pPr>
        <w:jc w:val="center"/>
        <w:rPr>
          <w:rFonts w:ascii="Times New Roman" w:hAnsi="Times New Roman" w:eastAsia="黑体"/>
          <w:sz w:val="32"/>
          <w:szCs w:val="32"/>
        </w:rPr>
      </w:pPr>
    </w:p>
    <w:p w14:paraId="78C3FA10">
      <w:pPr>
        <w:jc w:val="center"/>
        <w:rPr>
          <w:rFonts w:ascii="Times New Roman" w:hAnsi="Times New Roman" w:eastAsia="黑体"/>
          <w:sz w:val="32"/>
          <w:szCs w:val="32"/>
        </w:rPr>
      </w:pPr>
    </w:p>
    <w:p w14:paraId="4A7CF819">
      <w:pPr>
        <w:jc w:val="center"/>
        <w:rPr>
          <w:rFonts w:ascii="Times New Roman" w:hAnsi="Times New Roman" w:eastAsia="黑体"/>
          <w:sz w:val="32"/>
          <w:szCs w:val="32"/>
        </w:rPr>
      </w:pPr>
    </w:p>
    <w:p w14:paraId="5AB77D81">
      <w:pPr>
        <w:jc w:val="center"/>
        <w:rPr>
          <w:rFonts w:ascii="Times New Roman" w:hAnsi="Times New Roman" w:eastAsia="黑体"/>
          <w:sz w:val="32"/>
          <w:szCs w:val="32"/>
        </w:rPr>
      </w:pPr>
    </w:p>
    <w:p w14:paraId="09FFE190">
      <w:pPr>
        <w:rPr>
          <w:rFonts w:ascii="Times New Roman" w:hAnsi="Times New Roman" w:eastAsia="黑体"/>
          <w:sz w:val="32"/>
          <w:szCs w:val="32"/>
        </w:rPr>
      </w:pPr>
    </w:p>
    <w:p w14:paraId="425405F1">
      <w:pPr>
        <w:jc w:val="center"/>
        <w:rPr>
          <w:rFonts w:ascii="Times New Roman" w:hAnsi="Times New Roman"/>
          <w:sz w:val="36"/>
          <w:szCs w:val="36"/>
        </w:rPr>
      </w:pPr>
    </w:p>
    <w:p w14:paraId="7F9639AE">
      <w:pPr>
        <w:jc w:val="center"/>
        <w:rPr>
          <w:rFonts w:ascii="Times New Roman" w:hAnsi="Times New Roman"/>
          <w:sz w:val="36"/>
          <w:szCs w:val="36"/>
        </w:rPr>
      </w:pPr>
    </w:p>
    <w:p w14:paraId="0A50D637">
      <w:pPr>
        <w:jc w:val="center"/>
        <w:rPr>
          <w:rFonts w:ascii="Times New Roman" w:hAnsi="Times New Roman"/>
          <w:sz w:val="36"/>
          <w:szCs w:val="36"/>
        </w:rPr>
      </w:pPr>
    </w:p>
    <w:p w14:paraId="02B58A04">
      <w:pPr>
        <w:jc w:val="center"/>
        <w:rPr>
          <w:rFonts w:hint="eastAsia" w:ascii="Times New Roman" w:hAnsi="Times New Roman" w:eastAsia="宋体"/>
          <w:sz w:val="36"/>
          <w:szCs w:val="36"/>
          <w:lang w:val="en-US" w:eastAsia="zh-CN"/>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eastAsia="zh-CN"/>
        </w:rPr>
        <w:t>衡阳市环境保护科学研究所</w:t>
      </w:r>
    </w:p>
    <w:p w14:paraId="5FBEF9F9">
      <w:pPr>
        <w:jc w:val="center"/>
        <w:rPr>
          <w:rFonts w:ascii="Times New Roman" w:hAnsi="Times New Roman" w:eastAsia="黑体"/>
          <w:sz w:val="32"/>
          <w:szCs w:val="32"/>
        </w:rPr>
      </w:pPr>
    </w:p>
    <w:p w14:paraId="520C66FC">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2024</w:t>
      </w:r>
      <w:r>
        <w:rPr>
          <w:rFonts w:ascii="Times New Roman" w:hAnsi="Times New Roman" w:eastAsia="黑体"/>
          <w:sz w:val="32"/>
          <w:szCs w:val="32"/>
        </w:rPr>
        <w:t>年</w:t>
      </w:r>
      <w:r>
        <w:rPr>
          <w:rFonts w:hint="eastAsia" w:ascii="Times New Roman" w:hAnsi="Times New Roman" w:eastAsia="黑体"/>
          <w:sz w:val="32"/>
          <w:szCs w:val="32"/>
          <w:lang w:val="en-US" w:eastAsia="zh-CN"/>
        </w:rPr>
        <w:t>3</w:t>
      </w:r>
      <w:r>
        <w:rPr>
          <w:rFonts w:ascii="Times New Roman" w:hAnsi="Times New Roman" w:eastAsia="黑体"/>
          <w:sz w:val="32"/>
          <w:szCs w:val="32"/>
        </w:rPr>
        <w:t>月</w:t>
      </w:r>
      <w:r>
        <w:rPr>
          <w:rFonts w:hint="eastAsia" w:ascii="Times New Roman" w:hAnsi="Times New Roman" w:eastAsia="黑体"/>
          <w:sz w:val="32"/>
          <w:szCs w:val="32"/>
          <w:lang w:val="en-US" w:eastAsia="zh-CN"/>
        </w:rPr>
        <w:t>20</w:t>
      </w:r>
      <w:r>
        <w:rPr>
          <w:rFonts w:ascii="Times New Roman" w:hAnsi="Times New Roman" w:eastAsia="黑体"/>
          <w:sz w:val="32"/>
          <w:szCs w:val="32"/>
        </w:rPr>
        <w:t>日</w:t>
      </w:r>
    </w:p>
    <w:p w14:paraId="40719F9E">
      <w:pPr>
        <w:jc w:val="center"/>
        <w:rPr>
          <w:rFonts w:ascii="Times New Roman" w:hAnsi="Times New Roman" w:eastAsia="黑体"/>
          <w:sz w:val="32"/>
          <w:szCs w:val="32"/>
        </w:rPr>
      </w:pPr>
    </w:p>
    <w:p w14:paraId="0900EB82">
      <w:pPr>
        <w:spacing w:line="600" w:lineRule="exact"/>
        <w:rPr>
          <w:rFonts w:ascii="Times New Roman" w:hAnsi="Times New Roman" w:eastAsia="方正小标宋简体"/>
          <w:sz w:val="44"/>
          <w:szCs w:val="44"/>
        </w:rPr>
      </w:pPr>
    </w:p>
    <w:p w14:paraId="4C1EBBE7">
      <w:pPr>
        <w:spacing w:line="600" w:lineRule="exact"/>
        <w:jc w:val="center"/>
        <w:rPr>
          <w:rFonts w:ascii="Times New Roman" w:hAnsi="Times New Roman" w:eastAsia="方正小标宋简体"/>
          <w:sz w:val="44"/>
          <w:szCs w:val="44"/>
        </w:rPr>
      </w:pPr>
    </w:p>
    <w:p w14:paraId="58A31F56">
      <w:pPr>
        <w:spacing w:line="600" w:lineRule="exact"/>
        <w:jc w:val="center"/>
        <w:rPr>
          <w:rFonts w:ascii="Times New Roman" w:hAnsi="Times New Roman" w:eastAsia="方正小标宋简体"/>
          <w:sz w:val="44"/>
          <w:szCs w:val="44"/>
        </w:rPr>
      </w:pPr>
    </w:p>
    <w:p w14:paraId="29B2D3D4">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5492F0AE">
      <w:pPr>
        <w:spacing w:line="600" w:lineRule="exact"/>
        <w:jc w:val="center"/>
        <w:rPr>
          <w:rFonts w:ascii="Times New Roman" w:hAnsi="Times New Roman" w:eastAsia="楷体_GB2312"/>
          <w:sz w:val="32"/>
          <w:szCs w:val="32"/>
        </w:rPr>
      </w:pPr>
      <w:r>
        <w:rPr>
          <w:rFonts w:ascii="Times New Roman" w:hAnsi="Times New Roman" w:eastAsia="楷体_GB2312"/>
          <w:sz w:val="32"/>
          <w:szCs w:val="32"/>
        </w:rPr>
        <w:t>（参考提纲）</w:t>
      </w:r>
    </w:p>
    <w:p w14:paraId="7B163188">
      <w:pPr>
        <w:rPr>
          <w:rFonts w:ascii="Times New Roman" w:hAnsi="Times New Roman" w:eastAsia="方正小标宋_GBK"/>
          <w:sz w:val="32"/>
          <w:szCs w:val="32"/>
        </w:rPr>
      </w:pPr>
    </w:p>
    <w:p w14:paraId="7F05D535">
      <w:pPr>
        <w:pStyle w:val="17"/>
        <w:widowControl/>
        <w:numPr>
          <w:ilvl w:val="0"/>
          <w:numId w:val="1"/>
        </w:numPr>
        <w:ind w:firstLine="640"/>
        <w:rPr>
          <w:rFonts w:eastAsia="黑体"/>
          <w:sz w:val="32"/>
          <w:szCs w:val="32"/>
        </w:rPr>
      </w:pPr>
      <w:r>
        <w:rPr>
          <w:rFonts w:eastAsia="黑体"/>
          <w:sz w:val="32"/>
          <w:szCs w:val="32"/>
        </w:rPr>
        <w:t>部门、单位基本情况</w:t>
      </w:r>
    </w:p>
    <w:p w14:paraId="25A78070">
      <w:pPr>
        <w:pStyle w:val="17"/>
        <w:widowControl/>
        <w:spacing w:line="520" w:lineRule="exact"/>
        <w:ind w:firstLine="640"/>
        <w:rPr>
          <w:rFonts w:eastAsia="楷体"/>
          <w:sz w:val="32"/>
          <w:szCs w:val="32"/>
        </w:rPr>
      </w:pPr>
      <w:r>
        <w:rPr>
          <w:rFonts w:hint="eastAsia" w:eastAsia="楷体"/>
          <w:sz w:val="32"/>
          <w:szCs w:val="32"/>
        </w:rPr>
        <w:t>1．主要职能：承担全市环境保护科学技术和科研课题研究工作, 承担规划与建设项目环境影响报告、土壤风险评估报告的技术评审复核,市级污染治理技术方案和科研项目技术评审工作任务，负责环境保护新方法、新技术、新产品的开发研究与推广应用工作, 负责环境保护有关技术咨询服务工作,完成市环保局下达的其他任务。</w:t>
      </w:r>
    </w:p>
    <w:p w14:paraId="07151FB0">
      <w:pPr>
        <w:pStyle w:val="17"/>
        <w:widowControl/>
        <w:spacing w:line="520" w:lineRule="exact"/>
        <w:ind w:firstLine="640"/>
        <w:rPr>
          <w:rFonts w:eastAsia="楷体"/>
          <w:sz w:val="32"/>
          <w:szCs w:val="32"/>
        </w:rPr>
      </w:pPr>
      <w:r>
        <w:rPr>
          <w:rFonts w:hint="eastAsia" w:eastAsia="楷体"/>
          <w:sz w:val="32"/>
          <w:szCs w:val="32"/>
        </w:rPr>
        <w:t>2．机构情况：隶属于衡阳市生态环境局二级机构，是市财政差额拨款的公益性事业单位，独立编制独立核算。</w:t>
      </w:r>
    </w:p>
    <w:p w14:paraId="57A73245">
      <w:pPr>
        <w:pStyle w:val="17"/>
        <w:widowControl/>
        <w:ind w:firstLine="0" w:firstLineChars="0"/>
        <w:rPr>
          <w:rFonts w:eastAsia="黑体"/>
          <w:sz w:val="32"/>
          <w:szCs w:val="32"/>
        </w:rPr>
      </w:pPr>
      <w:r>
        <w:rPr>
          <w:rFonts w:hint="eastAsia" w:eastAsia="楷体"/>
          <w:sz w:val="32"/>
          <w:szCs w:val="32"/>
        </w:rPr>
        <w:t>3．人员情况：差额拨款事业编制数人员11人，退休人员2人，临时聘用人员3人，现有职工16人。</w:t>
      </w:r>
    </w:p>
    <w:p w14:paraId="4DDFC55D">
      <w:pPr>
        <w:pStyle w:val="17"/>
        <w:widowControl/>
        <w:ind w:firstLine="640"/>
        <w:rPr>
          <w:rFonts w:eastAsia="黑体"/>
          <w:sz w:val="32"/>
          <w:szCs w:val="32"/>
        </w:rPr>
      </w:pPr>
      <w:r>
        <w:rPr>
          <w:rFonts w:eastAsia="黑体"/>
          <w:sz w:val="32"/>
          <w:szCs w:val="32"/>
        </w:rPr>
        <w:t>二、一般公共预算支出情况</w:t>
      </w:r>
    </w:p>
    <w:p w14:paraId="5F79D987">
      <w:pPr>
        <w:pStyle w:val="17"/>
        <w:widowControl/>
        <w:spacing w:line="520" w:lineRule="exact"/>
        <w:ind w:firstLine="643"/>
        <w:rPr>
          <w:rFonts w:eastAsia="楷体"/>
          <w:b/>
          <w:sz w:val="32"/>
          <w:szCs w:val="32"/>
        </w:rPr>
      </w:pPr>
      <w:r>
        <w:rPr>
          <w:rFonts w:eastAsia="楷体"/>
          <w:b/>
          <w:sz w:val="32"/>
          <w:szCs w:val="32"/>
        </w:rPr>
        <w:t>（一）基本支出情况</w:t>
      </w:r>
    </w:p>
    <w:p w14:paraId="7DAB3456">
      <w:pPr>
        <w:pStyle w:val="17"/>
        <w:widowControl/>
        <w:spacing w:line="520" w:lineRule="exact"/>
        <w:ind w:firstLine="640"/>
        <w:rPr>
          <w:rFonts w:eastAsia="楷体"/>
          <w:sz w:val="32"/>
          <w:szCs w:val="32"/>
        </w:rPr>
      </w:pPr>
      <w:r>
        <w:rPr>
          <w:rFonts w:hint="eastAsia" w:eastAsia="楷体"/>
          <w:sz w:val="32"/>
          <w:szCs w:val="32"/>
        </w:rPr>
        <w:t>衡阳市环境保护科学研究所2023年全年一般公共预算支出基本支出总计3224729.22元，其中包括以下几个方面：</w:t>
      </w:r>
    </w:p>
    <w:p w14:paraId="152A726A">
      <w:pPr>
        <w:pStyle w:val="17"/>
        <w:widowControl/>
        <w:spacing w:line="520" w:lineRule="exact"/>
        <w:ind w:firstLine="640"/>
        <w:rPr>
          <w:rFonts w:eastAsia="楷体"/>
          <w:sz w:val="32"/>
          <w:szCs w:val="32"/>
        </w:rPr>
      </w:pPr>
      <w:r>
        <w:rPr>
          <w:rFonts w:hint="eastAsia" w:eastAsia="楷体"/>
          <w:sz w:val="32"/>
          <w:szCs w:val="32"/>
        </w:rPr>
        <w:t>1、工资福利支出1932814.62元</w:t>
      </w:r>
    </w:p>
    <w:p w14:paraId="0C0BFD21">
      <w:pPr>
        <w:pStyle w:val="17"/>
        <w:widowControl/>
        <w:spacing w:line="520" w:lineRule="exact"/>
        <w:ind w:firstLine="640"/>
        <w:rPr>
          <w:rFonts w:eastAsia="楷体"/>
          <w:sz w:val="32"/>
          <w:szCs w:val="32"/>
        </w:rPr>
      </w:pPr>
      <w:r>
        <w:rPr>
          <w:rFonts w:hint="eastAsia" w:eastAsia="楷体"/>
          <w:sz w:val="32"/>
          <w:szCs w:val="32"/>
        </w:rPr>
        <w:t>2、商品和服务支出1222609元。</w:t>
      </w:r>
    </w:p>
    <w:p w14:paraId="3D42394B">
      <w:pPr>
        <w:pStyle w:val="17"/>
        <w:widowControl/>
        <w:spacing w:line="520" w:lineRule="exact"/>
        <w:ind w:firstLine="640"/>
        <w:rPr>
          <w:rFonts w:eastAsia="楷体"/>
          <w:sz w:val="32"/>
          <w:szCs w:val="32"/>
        </w:rPr>
      </w:pPr>
      <w:r>
        <w:rPr>
          <w:rFonts w:hint="eastAsia" w:eastAsia="楷体"/>
          <w:sz w:val="32"/>
          <w:szCs w:val="32"/>
        </w:rPr>
        <w:t>3、对个人和家庭的补助69305.6元</w:t>
      </w:r>
      <w:r>
        <w:rPr>
          <w:rFonts w:hint="eastAsia" w:eastAsia="楷体"/>
          <w:sz w:val="32"/>
          <w:szCs w:val="32"/>
        </w:rPr>
        <w:tab/>
      </w:r>
      <w:r>
        <w:rPr>
          <w:rFonts w:hint="eastAsia" w:eastAsia="楷体"/>
          <w:sz w:val="32"/>
          <w:szCs w:val="32"/>
        </w:rPr>
        <w:tab/>
      </w:r>
      <w:r>
        <w:rPr>
          <w:rFonts w:hint="eastAsia" w:eastAsia="楷体"/>
          <w:sz w:val="32"/>
          <w:szCs w:val="32"/>
        </w:rPr>
        <w:tab/>
      </w:r>
      <w:r>
        <w:rPr>
          <w:rFonts w:hint="eastAsia" w:eastAsia="楷体"/>
          <w:sz w:val="32"/>
          <w:szCs w:val="32"/>
        </w:rPr>
        <w:tab/>
      </w:r>
      <w:r>
        <w:rPr>
          <w:rFonts w:hint="eastAsia" w:eastAsia="楷体"/>
          <w:sz w:val="32"/>
          <w:szCs w:val="32"/>
        </w:rPr>
        <w:tab/>
      </w:r>
      <w:r>
        <w:rPr>
          <w:rFonts w:hint="eastAsia" w:eastAsia="楷体"/>
          <w:sz w:val="32"/>
          <w:szCs w:val="32"/>
        </w:rPr>
        <w:tab/>
      </w:r>
    </w:p>
    <w:p w14:paraId="6C636106">
      <w:pPr>
        <w:pStyle w:val="17"/>
        <w:widowControl/>
        <w:ind w:firstLine="643"/>
        <w:rPr>
          <w:rFonts w:eastAsia="楷体"/>
          <w:b/>
          <w:sz w:val="32"/>
          <w:szCs w:val="32"/>
        </w:rPr>
      </w:pPr>
    </w:p>
    <w:p w14:paraId="5B2FD82F">
      <w:pPr>
        <w:pStyle w:val="17"/>
        <w:widowControl/>
        <w:ind w:firstLine="643"/>
        <w:rPr>
          <w:rFonts w:eastAsia="楷体"/>
          <w:b/>
          <w:sz w:val="32"/>
          <w:szCs w:val="32"/>
        </w:rPr>
      </w:pPr>
      <w:r>
        <w:rPr>
          <w:rFonts w:eastAsia="楷体"/>
          <w:b/>
          <w:sz w:val="32"/>
          <w:szCs w:val="32"/>
        </w:rPr>
        <w:t>（二）项目支出情况</w:t>
      </w:r>
    </w:p>
    <w:p w14:paraId="0B5F4BEB">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无</w:t>
      </w:r>
      <w:r>
        <w:rPr>
          <w:rFonts w:ascii="Times New Roman" w:hAnsi="Times New Roman" w:eastAsia="仿宋"/>
          <w:sz w:val="32"/>
          <w:szCs w:val="32"/>
        </w:rPr>
        <w:t>。</w:t>
      </w:r>
    </w:p>
    <w:p w14:paraId="57A38D68">
      <w:pPr>
        <w:pStyle w:val="17"/>
        <w:widowControl/>
        <w:ind w:firstLine="640"/>
        <w:rPr>
          <w:rFonts w:eastAsia="黑体"/>
          <w:sz w:val="32"/>
          <w:szCs w:val="32"/>
        </w:rPr>
      </w:pPr>
      <w:r>
        <w:rPr>
          <w:rFonts w:eastAsia="黑体"/>
          <w:sz w:val="32"/>
          <w:szCs w:val="32"/>
        </w:rPr>
        <w:t>三、政府性基金预算支出情况</w:t>
      </w:r>
    </w:p>
    <w:p w14:paraId="7295318A">
      <w:pPr>
        <w:pStyle w:val="17"/>
        <w:widowControl/>
        <w:ind w:firstLine="640"/>
        <w:rPr>
          <w:rFonts w:eastAsia="黑体"/>
          <w:sz w:val="32"/>
          <w:szCs w:val="32"/>
        </w:rPr>
      </w:pPr>
      <w:r>
        <w:rPr>
          <w:rFonts w:hint="eastAsia" w:eastAsia="黑体"/>
          <w:sz w:val="32"/>
          <w:szCs w:val="32"/>
        </w:rPr>
        <w:t>无</w:t>
      </w:r>
    </w:p>
    <w:p w14:paraId="6D252FF0">
      <w:pPr>
        <w:pStyle w:val="17"/>
        <w:widowControl/>
        <w:ind w:firstLine="640"/>
        <w:rPr>
          <w:rFonts w:eastAsia="黑体"/>
          <w:sz w:val="32"/>
          <w:szCs w:val="32"/>
        </w:rPr>
      </w:pPr>
      <w:r>
        <w:rPr>
          <w:rFonts w:eastAsia="黑体"/>
          <w:sz w:val="32"/>
          <w:szCs w:val="32"/>
        </w:rPr>
        <w:t>四、国有资本经营预算支出情况</w:t>
      </w:r>
    </w:p>
    <w:p w14:paraId="069C8FBC">
      <w:pPr>
        <w:pStyle w:val="17"/>
        <w:widowControl/>
        <w:ind w:firstLine="640"/>
        <w:rPr>
          <w:rFonts w:eastAsia="黑体"/>
          <w:sz w:val="32"/>
          <w:szCs w:val="32"/>
        </w:rPr>
      </w:pPr>
      <w:r>
        <w:rPr>
          <w:rFonts w:hint="eastAsia" w:eastAsia="黑体"/>
          <w:sz w:val="32"/>
          <w:szCs w:val="32"/>
        </w:rPr>
        <w:t>无</w:t>
      </w:r>
    </w:p>
    <w:p w14:paraId="473174AB">
      <w:pPr>
        <w:pStyle w:val="17"/>
        <w:widowControl/>
        <w:ind w:firstLine="640"/>
        <w:rPr>
          <w:rFonts w:eastAsia="黑体"/>
          <w:sz w:val="32"/>
          <w:szCs w:val="32"/>
        </w:rPr>
      </w:pPr>
      <w:r>
        <w:rPr>
          <w:rFonts w:eastAsia="黑体"/>
          <w:sz w:val="32"/>
          <w:szCs w:val="32"/>
        </w:rPr>
        <w:t>五、社会保险基金预算支出情况</w:t>
      </w:r>
    </w:p>
    <w:p w14:paraId="5B69C9A5">
      <w:pPr>
        <w:pStyle w:val="17"/>
        <w:widowControl/>
        <w:ind w:firstLine="640"/>
        <w:rPr>
          <w:rFonts w:eastAsia="黑体"/>
          <w:sz w:val="32"/>
          <w:szCs w:val="32"/>
        </w:rPr>
      </w:pPr>
      <w:r>
        <w:rPr>
          <w:rFonts w:hint="eastAsia" w:eastAsia="黑体"/>
          <w:sz w:val="32"/>
          <w:szCs w:val="32"/>
        </w:rPr>
        <w:t>无</w:t>
      </w:r>
    </w:p>
    <w:p w14:paraId="4C1094AD">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42D02819">
      <w:pPr>
        <w:widowControl/>
        <w:ind w:firstLine="640" w:firstLineChars="200"/>
        <w:rPr>
          <w:rFonts w:eastAsia="楷体"/>
          <w:sz w:val="32"/>
          <w:szCs w:val="32"/>
        </w:rPr>
      </w:pPr>
      <w:r>
        <w:rPr>
          <w:rFonts w:hint="eastAsia" w:eastAsia="楷体"/>
          <w:sz w:val="32"/>
          <w:szCs w:val="32"/>
        </w:rPr>
        <w:t>完成衡阳市2023年度第一、二、三、四季度环评与排污许可抽查技术复核工作；完成衡阳市2023年度重污染天气应急减排清单更新工作，完成2022年度饮用水水源地环境保护状况评估，2022年度衡阳市水环境承载力评估报告编制工作；2022年度环境统计通过省厅集中会审。。</w:t>
      </w:r>
      <w:r>
        <w:rPr>
          <w:rFonts w:hint="eastAsia" w:eastAsia="楷体"/>
          <w:sz w:val="32"/>
          <w:szCs w:val="32"/>
        </w:rPr>
        <w:br w:type="textWrapping"/>
      </w:r>
      <w:r>
        <w:rPr>
          <w:rFonts w:eastAsia="楷体"/>
          <w:sz w:val="32"/>
          <w:szCs w:val="32"/>
        </w:rPr>
        <w:t>　　预算执行方面，支出总额控制在预算总额以内，本年部门预算未进行预算相关事项的调整；“三公”经费总体控制较好，未超本年预算。</w:t>
      </w:r>
      <w:r>
        <w:rPr>
          <w:rFonts w:hint="eastAsia" w:eastAsia="楷体"/>
          <w:sz w:val="32"/>
          <w:szCs w:val="32"/>
        </w:rPr>
        <w:br w:type="textWrapping"/>
      </w:r>
      <w:r>
        <w:rPr>
          <w:rFonts w:eastAsia="楷体"/>
          <w:sz w:val="32"/>
          <w:szCs w:val="32"/>
        </w:rPr>
        <w:t>　　预算管理方面，制度执行总体较为有效，仍需进一步强化；资金使用管理需进一步加强。</w:t>
      </w:r>
      <w:r>
        <w:rPr>
          <w:rFonts w:hint="eastAsia" w:eastAsia="楷体"/>
          <w:sz w:val="32"/>
          <w:szCs w:val="32"/>
        </w:rPr>
        <w:br w:type="textWrapping"/>
      </w:r>
      <w:r>
        <w:rPr>
          <w:rFonts w:eastAsia="楷体"/>
          <w:sz w:val="32"/>
          <w:szCs w:val="32"/>
        </w:rPr>
        <w:t>　　资产管理方面，建立了资产管理制度，定期进行了盘点和资产清理，总体执行较好。</w:t>
      </w:r>
    </w:p>
    <w:p w14:paraId="2FE02E82">
      <w:pPr>
        <w:widowControl/>
        <w:ind w:firstLine="640" w:firstLineChars="200"/>
        <w:rPr>
          <w:rFonts w:ascii="Times New Roman" w:hAnsi="Times New Roman" w:eastAsia="仿宋"/>
          <w:color w:val="000000"/>
          <w:sz w:val="32"/>
          <w:szCs w:val="32"/>
        </w:rPr>
      </w:pPr>
    </w:p>
    <w:p w14:paraId="15917BF2">
      <w:pPr>
        <w:pStyle w:val="17"/>
        <w:widowControl/>
        <w:ind w:firstLine="640"/>
        <w:rPr>
          <w:rFonts w:eastAsia="黑体"/>
          <w:sz w:val="32"/>
          <w:szCs w:val="32"/>
        </w:rPr>
      </w:pPr>
      <w:r>
        <w:rPr>
          <w:rFonts w:eastAsia="黑体"/>
          <w:sz w:val="32"/>
          <w:szCs w:val="32"/>
        </w:rPr>
        <w:t>七、存在的问题及原因分析</w:t>
      </w:r>
    </w:p>
    <w:p w14:paraId="4706F310">
      <w:pPr>
        <w:pStyle w:val="17"/>
        <w:widowControl/>
        <w:spacing w:line="520" w:lineRule="exact"/>
        <w:ind w:firstLine="640"/>
        <w:rPr>
          <w:rFonts w:eastAsia="楷体"/>
          <w:sz w:val="32"/>
          <w:szCs w:val="32"/>
        </w:rPr>
      </w:pPr>
      <w:r>
        <w:rPr>
          <w:rFonts w:hint="eastAsia" w:eastAsia="楷体"/>
          <w:sz w:val="32"/>
          <w:szCs w:val="32"/>
        </w:rPr>
        <w:t>2023年我所财政预算资金收入为2798800.00元（其中年初预算资金收入为1129800.00元，本级财政追加业务工作经费1669000.00元），事业预算收入70000.00元，其他收入355929.22元，2023年我所实际支出3224729.22元，全年部分人员经费和日常公用经费无保障。</w:t>
      </w:r>
    </w:p>
    <w:p w14:paraId="460AF26E">
      <w:pPr>
        <w:pStyle w:val="17"/>
        <w:widowControl/>
        <w:spacing w:line="520" w:lineRule="exact"/>
        <w:ind w:firstLine="640"/>
        <w:rPr>
          <w:rFonts w:eastAsia="楷体"/>
          <w:sz w:val="32"/>
          <w:szCs w:val="32"/>
        </w:rPr>
      </w:pPr>
      <w:r>
        <w:rPr>
          <w:rFonts w:hint="eastAsia" w:eastAsia="楷体"/>
          <w:sz w:val="32"/>
          <w:szCs w:val="32"/>
        </w:rPr>
        <w:t>经费缺口无保障主要原因：1、衡阳市环境保护科学研究所隶属于衡阳市生态环境局二级机构，属于差额</w:t>
      </w:r>
      <w:r>
        <w:rPr>
          <w:rFonts w:hint="eastAsia" w:eastAsia="楷体"/>
          <w:sz w:val="32"/>
          <w:szCs w:val="32"/>
          <w:lang w:eastAsia="zh-CN"/>
        </w:rPr>
        <w:t>拨款</w:t>
      </w:r>
      <w:r>
        <w:rPr>
          <w:rFonts w:hint="eastAsia" w:eastAsia="楷体"/>
          <w:sz w:val="32"/>
          <w:szCs w:val="32"/>
        </w:rPr>
        <w:t>单位，全年预算只保障部分人员经费，单位运行经费没有纳入预算。</w:t>
      </w:r>
    </w:p>
    <w:p w14:paraId="65588A68">
      <w:pPr>
        <w:pStyle w:val="17"/>
        <w:widowControl/>
        <w:spacing w:line="520" w:lineRule="exact"/>
        <w:ind w:firstLine="640"/>
        <w:rPr>
          <w:rFonts w:eastAsia="楷体"/>
          <w:sz w:val="32"/>
          <w:szCs w:val="32"/>
        </w:rPr>
      </w:pPr>
      <w:r>
        <w:rPr>
          <w:rFonts w:hint="eastAsia" w:eastAsia="楷体"/>
          <w:sz w:val="32"/>
          <w:szCs w:val="32"/>
        </w:rPr>
        <w:t xml:space="preserve"> 2、衡阳市环境保护科学研究所自2016年取消了环评收费业务后，无收入来源。</w:t>
      </w:r>
    </w:p>
    <w:p w14:paraId="648DC11E">
      <w:pPr>
        <w:pStyle w:val="17"/>
        <w:widowControl/>
        <w:spacing w:line="520" w:lineRule="exact"/>
        <w:ind w:firstLine="640"/>
        <w:rPr>
          <w:rFonts w:eastAsia="楷体"/>
          <w:sz w:val="32"/>
          <w:szCs w:val="32"/>
        </w:rPr>
      </w:pPr>
      <w:r>
        <w:rPr>
          <w:rFonts w:hint="eastAsia" w:eastAsia="楷体"/>
          <w:sz w:val="32"/>
          <w:szCs w:val="32"/>
        </w:rPr>
        <w:t>采取的措施：响应财政局“以事养人”的原则，积极承担全市环境保护科学技术和科研课题研究工作, 承担规划与建设项目环境影响报告、土壤风险评估报告的技术评审复核,市级污染治理技术方案和科研项目技术评审工作。</w:t>
      </w:r>
    </w:p>
    <w:p w14:paraId="0DD9C893">
      <w:pPr>
        <w:pStyle w:val="17"/>
        <w:widowControl/>
        <w:numPr>
          <w:ilvl w:val="0"/>
          <w:numId w:val="2"/>
        </w:numPr>
        <w:spacing w:line="520" w:lineRule="exact"/>
        <w:ind w:firstLine="640"/>
        <w:rPr>
          <w:rFonts w:eastAsia="黑体"/>
          <w:sz w:val="32"/>
          <w:szCs w:val="32"/>
        </w:rPr>
      </w:pPr>
      <w:r>
        <w:rPr>
          <w:rFonts w:eastAsia="黑体"/>
          <w:sz w:val="32"/>
          <w:szCs w:val="32"/>
        </w:rPr>
        <w:t>下一步改进措施</w:t>
      </w:r>
    </w:p>
    <w:p w14:paraId="22556ABF">
      <w:pPr>
        <w:pStyle w:val="17"/>
        <w:widowControl/>
        <w:spacing w:line="520" w:lineRule="exact"/>
        <w:ind w:firstLine="640"/>
        <w:rPr>
          <w:rFonts w:eastAsia="楷体"/>
          <w:sz w:val="32"/>
          <w:szCs w:val="32"/>
        </w:rPr>
      </w:pPr>
      <w:r>
        <w:rPr>
          <w:rFonts w:hint="eastAsia" w:eastAsia="楷体"/>
          <w:sz w:val="32"/>
          <w:szCs w:val="32"/>
        </w:rPr>
        <w:t>1.科学合理编制预算，严格执行预算。</w:t>
      </w:r>
    </w:p>
    <w:p w14:paraId="105E2E02">
      <w:pPr>
        <w:pStyle w:val="17"/>
        <w:widowControl/>
        <w:spacing w:line="520" w:lineRule="exact"/>
        <w:ind w:firstLine="640"/>
        <w:rPr>
          <w:rFonts w:eastAsia="楷体"/>
          <w:sz w:val="32"/>
          <w:szCs w:val="32"/>
        </w:rPr>
      </w:pPr>
      <w:r>
        <w:rPr>
          <w:rFonts w:hint="eastAsia" w:eastAsia="楷体"/>
          <w:sz w:val="32"/>
          <w:szCs w:val="32"/>
        </w:rPr>
        <w:t>加强预算编制的前瞻性，按照新</w:t>
      </w:r>
      <w:r>
        <w:rPr>
          <w:rFonts w:hint="eastAsia" w:eastAsia="楷体"/>
          <w:sz w:val="32"/>
          <w:szCs w:val="32"/>
          <w:lang w:eastAsia="zh-CN"/>
        </w:rPr>
        <w:t>《中华人民共和国预算法》</w:t>
      </w:r>
      <w:r>
        <w:rPr>
          <w:rFonts w:hint="eastAsia" w:eastAsia="楷体"/>
          <w:sz w:val="32"/>
          <w:szCs w:val="32"/>
        </w:rPr>
        <w:t>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14:paraId="764598B9">
      <w:pPr>
        <w:pStyle w:val="17"/>
        <w:widowControl/>
        <w:spacing w:line="520" w:lineRule="exact"/>
        <w:ind w:firstLine="640"/>
        <w:rPr>
          <w:rFonts w:eastAsia="楷体"/>
          <w:sz w:val="32"/>
          <w:szCs w:val="32"/>
        </w:rPr>
      </w:pPr>
      <w:r>
        <w:rPr>
          <w:rFonts w:hint="eastAsia" w:eastAsia="楷体"/>
          <w:sz w:val="32"/>
          <w:szCs w:val="32"/>
        </w:rPr>
        <w:t>2.完善管理制度，进一步加强资产管理。</w:t>
      </w:r>
    </w:p>
    <w:p w14:paraId="2141D36D">
      <w:pPr>
        <w:pStyle w:val="17"/>
        <w:widowControl/>
        <w:spacing w:line="520" w:lineRule="exact"/>
        <w:ind w:firstLine="640"/>
        <w:rPr>
          <w:rFonts w:eastAsia="楷体"/>
          <w:sz w:val="32"/>
          <w:szCs w:val="32"/>
        </w:rPr>
      </w:pPr>
      <w:r>
        <w:rPr>
          <w:rFonts w:hint="eastAsia" w:eastAsia="楷体"/>
          <w:sz w:val="32"/>
          <w:szCs w:val="32"/>
        </w:rPr>
        <w:t>进一步贯彻落实中央</w:t>
      </w:r>
      <w:r>
        <w:rPr>
          <w:rFonts w:hint="eastAsia" w:eastAsia="楷体"/>
          <w:sz w:val="32"/>
          <w:szCs w:val="32"/>
          <w:lang w:eastAsia="zh-CN"/>
        </w:rPr>
        <w:t>八项规定</w:t>
      </w:r>
      <w:r>
        <w:rPr>
          <w:rFonts w:hint="eastAsia" w:eastAsia="楷体"/>
          <w:sz w:val="32"/>
          <w:szCs w:val="32"/>
        </w:rPr>
        <w:t>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14:paraId="5748C749">
      <w:pPr>
        <w:pStyle w:val="17"/>
        <w:widowControl/>
        <w:spacing w:line="520" w:lineRule="exact"/>
        <w:ind w:firstLine="640"/>
        <w:rPr>
          <w:rFonts w:eastAsia="楷体"/>
          <w:sz w:val="32"/>
          <w:szCs w:val="32"/>
        </w:rPr>
      </w:pPr>
      <w:r>
        <w:rPr>
          <w:rFonts w:hint="eastAsia" w:eastAsia="楷体"/>
          <w:sz w:val="32"/>
          <w:szCs w:val="32"/>
        </w:rPr>
        <w:t>3.加强新行政单位会计制度和新预算法学习培训。</w:t>
      </w:r>
    </w:p>
    <w:p w14:paraId="072D38A1">
      <w:pPr>
        <w:widowControl/>
        <w:ind w:firstLine="640" w:firstLineChars="200"/>
        <w:rPr>
          <w:rFonts w:ascii="Times New Roman" w:hAnsi="Times New Roman" w:eastAsia="黑体"/>
          <w:sz w:val="32"/>
          <w:szCs w:val="32"/>
        </w:rPr>
      </w:pPr>
      <w:r>
        <w:rPr>
          <w:rFonts w:hint="eastAsia" w:eastAsia="楷体"/>
          <w:sz w:val="32"/>
          <w:szCs w:val="32"/>
        </w:rPr>
        <w:t>加强新</w:t>
      </w:r>
      <w:r>
        <w:rPr>
          <w:rFonts w:hint="eastAsia" w:eastAsia="楷体"/>
          <w:sz w:val="32"/>
          <w:szCs w:val="32"/>
          <w:lang w:eastAsia="zh-CN"/>
        </w:rPr>
        <w:t>《中华人民共和国预算法》</w:t>
      </w:r>
      <w:r>
        <w:rPr>
          <w:rFonts w:hint="eastAsia" w:eastAsia="楷体"/>
          <w:sz w:val="32"/>
          <w:szCs w:val="32"/>
        </w:rPr>
        <w:t xml:space="preserve">、《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     </w:t>
      </w:r>
      <w:r>
        <w:rPr>
          <w:rFonts w:hint="eastAsia" w:ascii="仿宋_GB2312" w:hAnsi="宋体" w:eastAsia="仿宋_GB2312"/>
          <w:sz w:val="32"/>
          <w:szCs w:val="32"/>
        </w:rPr>
        <w:t xml:space="preserve">  </w:t>
      </w:r>
    </w:p>
    <w:p w14:paraId="5E7FA7E6">
      <w:pPr>
        <w:widowControl/>
        <w:ind w:firstLine="640" w:firstLineChars="200"/>
        <w:rPr>
          <w:rFonts w:ascii="Times New Roman" w:hAnsi="Times New Roman" w:eastAsia="黑体"/>
          <w:sz w:val="32"/>
          <w:szCs w:val="32"/>
        </w:rPr>
      </w:pPr>
      <w:r>
        <w:rPr>
          <w:rFonts w:ascii="Times New Roman" w:hAnsi="Times New Roman" w:eastAsia="黑体"/>
          <w:sz w:val="32"/>
          <w:szCs w:val="32"/>
        </w:rPr>
        <w:t>九、其他需要说明的情况</w:t>
      </w:r>
    </w:p>
    <w:p w14:paraId="21289DF9">
      <w:pPr>
        <w:widowControl/>
        <w:ind w:firstLine="640" w:firstLineChars="200"/>
        <w:rPr>
          <w:rFonts w:ascii="黑体" w:hAnsi="黑体" w:eastAsia="黑体" w:cs="黑体"/>
          <w:kern w:val="0"/>
          <w:sz w:val="32"/>
          <w:szCs w:val="32"/>
        </w:rPr>
      </w:pPr>
      <w:r>
        <w:rPr>
          <w:rFonts w:hint="eastAsia" w:ascii="Times New Roman" w:hAnsi="Times New Roman" w:eastAsia="黑体"/>
          <w:sz w:val="32"/>
          <w:szCs w:val="32"/>
        </w:rPr>
        <w:t>无</w:t>
      </w:r>
    </w:p>
    <w:p w14:paraId="41D3E603">
      <w:pPr>
        <w:ind w:right="640"/>
        <w:rPr>
          <w:rFonts w:ascii="黑体" w:hAnsi="黑体" w:eastAsia="黑体" w:cs="黑体"/>
          <w:kern w:val="0"/>
          <w:sz w:val="32"/>
          <w:szCs w:val="32"/>
        </w:rPr>
      </w:pPr>
    </w:p>
    <w:p w14:paraId="138E76D5">
      <w:pPr>
        <w:ind w:right="640"/>
        <w:rPr>
          <w:rFonts w:ascii="黑体" w:hAnsi="黑体" w:eastAsia="黑体" w:cs="黑体"/>
          <w:kern w:val="0"/>
          <w:sz w:val="32"/>
          <w:szCs w:val="32"/>
        </w:rPr>
      </w:pPr>
    </w:p>
    <w:p w14:paraId="0977C735">
      <w:pPr>
        <w:ind w:right="640"/>
        <w:rPr>
          <w:rFonts w:ascii="黑体" w:hAnsi="黑体" w:eastAsia="黑体" w:cs="黑体"/>
          <w:kern w:val="0"/>
          <w:sz w:val="32"/>
          <w:szCs w:val="32"/>
        </w:rPr>
      </w:pPr>
    </w:p>
    <w:p w14:paraId="24F91686">
      <w:pPr>
        <w:ind w:right="640"/>
        <w:rPr>
          <w:rFonts w:ascii="黑体" w:hAnsi="黑体" w:eastAsia="黑体" w:cs="黑体"/>
          <w:kern w:val="0"/>
          <w:sz w:val="32"/>
          <w:szCs w:val="32"/>
        </w:rPr>
      </w:pPr>
    </w:p>
    <w:p w14:paraId="15EEC75D">
      <w:pPr>
        <w:ind w:right="640"/>
        <w:rPr>
          <w:rFonts w:ascii="黑体" w:hAnsi="黑体" w:eastAsia="黑体" w:cs="黑体"/>
          <w:kern w:val="0"/>
          <w:sz w:val="32"/>
          <w:szCs w:val="32"/>
        </w:rPr>
      </w:pPr>
    </w:p>
    <w:p w14:paraId="79B9A722">
      <w:pPr>
        <w:ind w:right="640"/>
        <w:rPr>
          <w:rFonts w:ascii="黑体" w:hAnsi="黑体" w:eastAsia="黑体" w:cs="黑体"/>
          <w:kern w:val="0"/>
          <w:sz w:val="32"/>
          <w:szCs w:val="32"/>
        </w:rPr>
      </w:pPr>
    </w:p>
    <w:p w14:paraId="6BFAB80D">
      <w:pPr>
        <w:ind w:right="640"/>
        <w:rPr>
          <w:rFonts w:ascii="黑体" w:hAnsi="黑体" w:eastAsia="黑体" w:cs="黑体"/>
          <w:kern w:val="0"/>
          <w:sz w:val="32"/>
          <w:szCs w:val="32"/>
        </w:rPr>
      </w:pPr>
    </w:p>
    <w:p w14:paraId="76743D0E">
      <w:pPr>
        <w:ind w:right="640"/>
        <w:rPr>
          <w:rFonts w:ascii="黑体" w:hAnsi="黑体" w:eastAsia="黑体" w:cs="黑体"/>
          <w:kern w:val="0"/>
          <w:sz w:val="32"/>
          <w:szCs w:val="32"/>
        </w:rPr>
      </w:pPr>
    </w:p>
    <w:sectPr>
      <w:footerReference r:id="rId3" w:type="default"/>
      <w:footerReference r:id="rId4" w:type="even"/>
      <w:pgSz w:w="11906" w:h="16838"/>
      <w:pgMar w:top="1440" w:right="1797" w:bottom="1440" w:left="1797" w:header="851" w:footer="992" w:gutter="0"/>
      <w:pgNumType w:fmt="numberInDash"/>
      <w:cols w:space="425"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Microsoft YaHei UI"/>
    <w:panose1 w:val="00000000000000000000"/>
    <w:charset w:val="86"/>
    <w:family w:val="auto"/>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12481">
    <w:pPr>
      <w:pStyle w:val="4"/>
      <w:framePr w:wrap="around" w:vAnchor="text" w:hAnchor="margin" w:xAlign="outside" w:y="1"/>
      <w:rPr>
        <w:rStyle w:val="9"/>
        <w:rFonts w:ascii="Times New Roman" w:hAnsi="Times New Roman"/>
        <w:sz w:val="28"/>
        <w:szCs w:val="28"/>
      </w:rPr>
    </w:pPr>
    <w:r>
      <w:rPr>
        <w:rStyle w:val="9"/>
        <w:rFonts w:ascii="Times New Roman" w:hAnsi="Times New Roman"/>
        <w:sz w:val="28"/>
        <w:szCs w:val="28"/>
      </w:rPr>
      <w:fldChar w:fldCharType="begin"/>
    </w:r>
    <w:r>
      <w:rPr>
        <w:rStyle w:val="9"/>
        <w:rFonts w:ascii="Times New Roman" w:hAnsi="Times New Roman"/>
        <w:sz w:val="28"/>
        <w:szCs w:val="28"/>
      </w:rPr>
      <w:instrText xml:space="preserve">PAGE  </w:instrText>
    </w:r>
    <w:r>
      <w:rPr>
        <w:rStyle w:val="9"/>
        <w:rFonts w:ascii="Times New Roman" w:hAnsi="Times New Roman"/>
        <w:sz w:val="28"/>
        <w:szCs w:val="28"/>
      </w:rPr>
      <w:fldChar w:fldCharType="separate"/>
    </w:r>
    <w:r>
      <w:rPr>
        <w:rStyle w:val="9"/>
        <w:rFonts w:ascii="Times New Roman" w:hAnsi="Times New Roman"/>
        <w:sz w:val="28"/>
        <w:szCs w:val="28"/>
      </w:rPr>
      <w:t>- 2 -</w:t>
    </w:r>
    <w:r>
      <w:rPr>
        <w:rStyle w:val="9"/>
        <w:rFonts w:ascii="Times New Roman" w:hAnsi="Times New Roman"/>
        <w:sz w:val="28"/>
        <w:szCs w:val="28"/>
      </w:rPr>
      <w:fldChar w:fldCharType="end"/>
    </w:r>
  </w:p>
  <w:p w14:paraId="1D3759D3">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68FC4">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8B74A0E">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2CFBBD"/>
    <w:multiLevelType w:val="singleLevel"/>
    <w:tmpl w:val="022CFBBD"/>
    <w:lvl w:ilvl="0" w:tentative="0">
      <w:start w:val="8"/>
      <w:numFmt w:val="chineseCounting"/>
      <w:suff w:val="nothing"/>
      <w:lvlText w:val="%1、"/>
      <w:lvlJc w:val="left"/>
      <w:rPr>
        <w:rFonts w:hint="eastAsia"/>
      </w:rPr>
    </w:lvl>
  </w:abstractNum>
  <w:abstractNum w:abstractNumId="1">
    <w:nsid w:val="0D8E94A7"/>
    <w:multiLevelType w:val="singleLevel"/>
    <w:tmpl w:val="0D8E94A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M4NTkyYmIzM2QzMTVlMWJkYjQyZmVlMjhjNTFhYTQifQ=="/>
  </w:docVars>
  <w:rsids>
    <w:rsidRoot w:val="00C553EF"/>
    <w:rsid w:val="000029F0"/>
    <w:rsid w:val="00012C93"/>
    <w:rsid w:val="000734E3"/>
    <w:rsid w:val="000773D5"/>
    <w:rsid w:val="00080625"/>
    <w:rsid w:val="00082293"/>
    <w:rsid w:val="00093B9D"/>
    <w:rsid w:val="00094646"/>
    <w:rsid w:val="000A561A"/>
    <w:rsid w:val="000D5E7F"/>
    <w:rsid w:val="000E2B59"/>
    <w:rsid w:val="000E2E9C"/>
    <w:rsid w:val="000F775C"/>
    <w:rsid w:val="00135131"/>
    <w:rsid w:val="00135395"/>
    <w:rsid w:val="00173AA9"/>
    <w:rsid w:val="00184AF2"/>
    <w:rsid w:val="001A7CAB"/>
    <w:rsid w:val="001B56F4"/>
    <w:rsid w:val="001B69B6"/>
    <w:rsid w:val="001B6D56"/>
    <w:rsid w:val="001C048E"/>
    <w:rsid w:val="00220A85"/>
    <w:rsid w:val="002238BB"/>
    <w:rsid w:val="00225BED"/>
    <w:rsid w:val="002320EB"/>
    <w:rsid w:val="002A03D6"/>
    <w:rsid w:val="002D01D7"/>
    <w:rsid w:val="002F05A3"/>
    <w:rsid w:val="003056F3"/>
    <w:rsid w:val="003126FC"/>
    <w:rsid w:val="00323CF3"/>
    <w:rsid w:val="0032533F"/>
    <w:rsid w:val="0034517E"/>
    <w:rsid w:val="003A1408"/>
    <w:rsid w:val="003B7F5C"/>
    <w:rsid w:val="003E1FD6"/>
    <w:rsid w:val="003E5841"/>
    <w:rsid w:val="003F1540"/>
    <w:rsid w:val="004148E0"/>
    <w:rsid w:val="004217FE"/>
    <w:rsid w:val="00440BFE"/>
    <w:rsid w:val="00463FD5"/>
    <w:rsid w:val="00474AD0"/>
    <w:rsid w:val="00487AC5"/>
    <w:rsid w:val="00496F05"/>
    <w:rsid w:val="00537950"/>
    <w:rsid w:val="00551D43"/>
    <w:rsid w:val="00566BA9"/>
    <w:rsid w:val="005709FF"/>
    <w:rsid w:val="00581EEE"/>
    <w:rsid w:val="005851E9"/>
    <w:rsid w:val="00591495"/>
    <w:rsid w:val="00594AEE"/>
    <w:rsid w:val="005D031D"/>
    <w:rsid w:val="006264B7"/>
    <w:rsid w:val="00677EDD"/>
    <w:rsid w:val="006964D9"/>
    <w:rsid w:val="006F37DA"/>
    <w:rsid w:val="007109A0"/>
    <w:rsid w:val="007123D7"/>
    <w:rsid w:val="00713B58"/>
    <w:rsid w:val="00751BF0"/>
    <w:rsid w:val="00764972"/>
    <w:rsid w:val="00771B0E"/>
    <w:rsid w:val="007A6F2C"/>
    <w:rsid w:val="007B3731"/>
    <w:rsid w:val="007C3C5A"/>
    <w:rsid w:val="007E2D1B"/>
    <w:rsid w:val="007E3E71"/>
    <w:rsid w:val="008241E1"/>
    <w:rsid w:val="00835818"/>
    <w:rsid w:val="00847A3C"/>
    <w:rsid w:val="00893AEC"/>
    <w:rsid w:val="008E749C"/>
    <w:rsid w:val="00940D4A"/>
    <w:rsid w:val="00971DB4"/>
    <w:rsid w:val="0097394E"/>
    <w:rsid w:val="009D0C0A"/>
    <w:rsid w:val="00A0127D"/>
    <w:rsid w:val="00A148B9"/>
    <w:rsid w:val="00A2187E"/>
    <w:rsid w:val="00A27BE1"/>
    <w:rsid w:val="00A3605E"/>
    <w:rsid w:val="00A377C0"/>
    <w:rsid w:val="00A55C61"/>
    <w:rsid w:val="00A801F4"/>
    <w:rsid w:val="00AC12C1"/>
    <w:rsid w:val="00AC5F31"/>
    <w:rsid w:val="00AF15ED"/>
    <w:rsid w:val="00B049DD"/>
    <w:rsid w:val="00B17D23"/>
    <w:rsid w:val="00B624F8"/>
    <w:rsid w:val="00B62F82"/>
    <w:rsid w:val="00B702EE"/>
    <w:rsid w:val="00B86511"/>
    <w:rsid w:val="00B86BA1"/>
    <w:rsid w:val="00B9399A"/>
    <w:rsid w:val="00BD1721"/>
    <w:rsid w:val="00BD4955"/>
    <w:rsid w:val="00C23636"/>
    <w:rsid w:val="00C553EF"/>
    <w:rsid w:val="00C641BD"/>
    <w:rsid w:val="00C91F4C"/>
    <w:rsid w:val="00C9428C"/>
    <w:rsid w:val="00CC6012"/>
    <w:rsid w:val="00CD7E4E"/>
    <w:rsid w:val="00CE4DFE"/>
    <w:rsid w:val="00CF0AA7"/>
    <w:rsid w:val="00D64926"/>
    <w:rsid w:val="00D74987"/>
    <w:rsid w:val="00D812AD"/>
    <w:rsid w:val="00D8620A"/>
    <w:rsid w:val="00D90B2D"/>
    <w:rsid w:val="00DC7EE1"/>
    <w:rsid w:val="00DD4AA2"/>
    <w:rsid w:val="00DD5A15"/>
    <w:rsid w:val="00E01819"/>
    <w:rsid w:val="00E039BF"/>
    <w:rsid w:val="00E323CD"/>
    <w:rsid w:val="00E8571A"/>
    <w:rsid w:val="00E94B12"/>
    <w:rsid w:val="00EB47F9"/>
    <w:rsid w:val="00EF0339"/>
    <w:rsid w:val="00EF67C0"/>
    <w:rsid w:val="00F137EB"/>
    <w:rsid w:val="00F2080B"/>
    <w:rsid w:val="00F55DE1"/>
    <w:rsid w:val="00FA2BB2"/>
    <w:rsid w:val="00FA6ECF"/>
    <w:rsid w:val="00FC450D"/>
    <w:rsid w:val="00FD081E"/>
    <w:rsid w:val="00FE100B"/>
    <w:rsid w:val="00FE4826"/>
    <w:rsid w:val="016772A8"/>
    <w:rsid w:val="028D58A7"/>
    <w:rsid w:val="03043E77"/>
    <w:rsid w:val="06EF4AB2"/>
    <w:rsid w:val="0721638A"/>
    <w:rsid w:val="07C71168"/>
    <w:rsid w:val="0A0817E7"/>
    <w:rsid w:val="0A0D53EC"/>
    <w:rsid w:val="0D605732"/>
    <w:rsid w:val="0DD57ECE"/>
    <w:rsid w:val="0F262ACD"/>
    <w:rsid w:val="15DA6FC6"/>
    <w:rsid w:val="168B1A5F"/>
    <w:rsid w:val="18934E7A"/>
    <w:rsid w:val="1AAB623F"/>
    <w:rsid w:val="217D46AD"/>
    <w:rsid w:val="232778B2"/>
    <w:rsid w:val="297159DD"/>
    <w:rsid w:val="2C386B3E"/>
    <w:rsid w:val="2CA61530"/>
    <w:rsid w:val="2E660FDE"/>
    <w:rsid w:val="2E7071F6"/>
    <w:rsid w:val="2F5E272D"/>
    <w:rsid w:val="37D56A93"/>
    <w:rsid w:val="398B5761"/>
    <w:rsid w:val="3A987BA2"/>
    <w:rsid w:val="3BFC0501"/>
    <w:rsid w:val="3F52287D"/>
    <w:rsid w:val="416B7C26"/>
    <w:rsid w:val="41C61B6B"/>
    <w:rsid w:val="431F6A03"/>
    <w:rsid w:val="44A75419"/>
    <w:rsid w:val="485B4839"/>
    <w:rsid w:val="4A6F6D2D"/>
    <w:rsid w:val="4B92138C"/>
    <w:rsid w:val="4B95421D"/>
    <w:rsid w:val="4E516B22"/>
    <w:rsid w:val="517A59A7"/>
    <w:rsid w:val="522E2CD6"/>
    <w:rsid w:val="559A237F"/>
    <w:rsid w:val="55D63CAA"/>
    <w:rsid w:val="577B43C0"/>
    <w:rsid w:val="590673AC"/>
    <w:rsid w:val="591C2557"/>
    <w:rsid w:val="592941F7"/>
    <w:rsid w:val="5C2F64BB"/>
    <w:rsid w:val="5F247EBB"/>
    <w:rsid w:val="6031230F"/>
    <w:rsid w:val="609A4BD3"/>
    <w:rsid w:val="61C41387"/>
    <w:rsid w:val="62882016"/>
    <w:rsid w:val="62EE2458"/>
    <w:rsid w:val="62F62474"/>
    <w:rsid w:val="640815D9"/>
    <w:rsid w:val="65A22784"/>
    <w:rsid w:val="65B31738"/>
    <w:rsid w:val="66B91727"/>
    <w:rsid w:val="69B32D58"/>
    <w:rsid w:val="6AF80B9B"/>
    <w:rsid w:val="6BAD2A66"/>
    <w:rsid w:val="6CDE3E9F"/>
    <w:rsid w:val="6EF74444"/>
    <w:rsid w:val="71125845"/>
    <w:rsid w:val="744D2A74"/>
    <w:rsid w:val="771604B3"/>
    <w:rsid w:val="773A3B3B"/>
    <w:rsid w:val="77A24B7F"/>
    <w:rsid w:val="77E95CA2"/>
    <w:rsid w:val="79336CA0"/>
    <w:rsid w:val="79A2386E"/>
    <w:rsid w:val="7B31747D"/>
    <w:rsid w:val="7E0A5DEF"/>
    <w:rsid w:val="7F20194F"/>
    <w:rsid w:val="7F4A2182"/>
    <w:rsid w:val="7F531EB8"/>
    <w:rsid w:val="7F910F92"/>
    <w:rsid w:val="7F9F76B6"/>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autoRedefine/>
    <w:qFormat/>
    <w:uiPriority w:val="99"/>
    <w:pPr>
      <w:jc w:val="left"/>
    </w:pPr>
    <w:rPr>
      <w:rFonts w:ascii="Times New Roman" w:hAnsi="Times New Roman"/>
      <w:szCs w:val="24"/>
    </w:rPr>
  </w:style>
  <w:style w:type="paragraph" w:styleId="3">
    <w:name w:val="Balloon Text"/>
    <w:basedOn w:val="1"/>
    <w:link w:val="13"/>
    <w:autoRedefine/>
    <w:qFormat/>
    <w:uiPriority w:val="99"/>
    <w:rPr>
      <w:rFonts w:ascii="Times New Roman" w:hAnsi="Times New Roman"/>
      <w:sz w:val="18"/>
      <w:szCs w:val="18"/>
    </w:rPr>
  </w:style>
  <w:style w:type="paragraph" w:styleId="4">
    <w:name w:val="footer"/>
    <w:basedOn w:val="1"/>
    <w:link w:val="14"/>
    <w:autoRedefine/>
    <w:qFormat/>
    <w:uiPriority w:val="99"/>
    <w:pPr>
      <w:tabs>
        <w:tab w:val="center" w:pos="4153"/>
        <w:tab w:val="right" w:pos="8306"/>
      </w:tabs>
      <w:snapToGrid w:val="0"/>
      <w:jc w:val="left"/>
    </w:pPr>
    <w:rPr>
      <w:sz w:val="18"/>
      <w:szCs w:val="18"/>
    </w:rPr>
  </w:style>
  <w:style w:type="paragraph" w:styleId="5">
    <w:name w:val="header"/>
    <w:basedOn w:val="1"/>
    <w:link w:val="15"/>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autoRedefine/>
    <w:qFormat/>
    <w:uiPriority w:val="99"/>
    <w:rPr>
      <w:rFonts w:cs="Times New Roman"/>
    </w:rPr>
  </w:style>
  <w:style w:type="character" w:styleId="10">
    <w:name w:val="Hyperlink"/>
    <w:basedOn w:val="8"/>
    <w:autoRedefine/>
    <w:unhideWhenUsed/>
    <w:qFormat/>
    <w:uiPriority w:val="99"/>
    <w:rPr>
      <w:color w:val="0000FF" w:themeColor="hyperlink"/>
      <w:u w:val="single"/>
    </w:rPr>
  </w:style>
  <w:style w:type="character" w:styleId="11">
    <w:name w:val="annotation reference"/>
    <w:basedOn w:val="8"/>
    <w:autoRedefine/>
    <w:qFormat/>
    <w:uiPriority w:val="99"/>
    <w:rPr>
      <w:rFonts w:cs="Times New Roman"/>
      <w:sz w:val="21"/>
      <w:szCs w:val="21"/>
    </w:rPr>
  </w:style>
  <w:style w:type="character" w:customStyle="1" w:styleId="12">
    <w:name w:val="批注文字 Char"/>
    <w:basedOn w:val="8"/>
    <w:link w:val="2"/>
    <w:autoRedefine/>
    <w:qFormat/>
    <w:locked/>
    <w:uiPriority w:val="99"/>
    <w:rPr>
      <w:rFonts w:ascii="Times New Roman" w:hAnsi="Times New Roman" w:eastAsia="宋体" w:cs="Times New Roman"/>
      <w:sz w:val="24"/>
      <w:szCs w:val="24"/>
    </w:rPr>
  </w:style>
  <w:style w:type="character" w:customStyle="1" w:styleId="13">
    <w:name w:val="批注框文本 Char"/>
    <w:basedOn w:val="8"/>
    <w:link w:val="3"/>
    <w:autoRedefine/>
    <w:qFormat/>
    <w:locked/>
    <w:uiPriority w:val="99"/>
    <w:rPr>
      <w:rFonts w:ascii="Times New Roman" w:hAnsi="Times New Roman" w:eastAsia="宋体" w:cs="Times New Roman"/>
      <w:sz w:val="18"/>
      <w:szCs w:val="18"/>
    </w:rPr>
  </w:style>
  <w:style w:type="character" w:customStyle="1" w:styleId="14">
    <w:name w:val="页脚 Char"/>
    <w:basedOn w:val="8"/>
    <w:link w:val="4"/>
    <w:autoRedefine/>
    <w:qFormat/>
    <w:locked/>
    <w:uiPriority w:val="99"/>
    <w:rPr>
      <w:rFonts w:cs="Times New Roman"/>
      <w:sz w:val="18"/>
      <w:szCs w:val="18"/>
    </w:rPr>
  </w:style>
  <w:style w:type="character" w:customStyle="1" w:styleId="15">
    <w:name w:val="页眉 Char"/>
    <w:basedOn w:val="8"/>
    <w:link w:val="5"/>
    <w:autoRedefine/>
    <w:qFormat/>
    <w:locked/>
    <w:uiPriority w:val="99"/>
    <w:rPr>
      <w:rFonts w:cs="Times New Roman"/>
      <w:sz w:val="18"/>
      <w:szCs w:val="18"/>
    </w:rPr>
  </w:style>
  <w:style w:type="paragraph" w:customStyle="1" w:styleId="16">
    <w:name w:val="列出段落1"/>
    <w:basedOn w:val="1"/>
    <w:autoRedefine/>
    <w:qFormat/>
    <w:uiPriority w:val="99"/>
    <w:pPr>
      <w:ind w:firstLine="420" w:firstLineChars="200"/>
    </w:pPr>
    <w:rPr>
      <w:rFonts w:ascii="Times New Roman" w:hAnsi="Times New Roman"/>
      <w:szCs w:val="24"/>
    </w:rPr>
  </w:style>
  <w:style w:type="paragraph" w:styleId="17">
    <w:name w:val="List Paragraph"/>
    <w:basedOn w:val="1"/>
    <w:autoRedefine/>
    <w:qFormat/>
    <w:uiPriority w:val="99"/>
    <w:pPr>
      <w:ind w:firstLine="420" w:firstLineChars="200"/>
    </w:pPr>
    <w:rPr>
      <w:rFonts w:ascii="Times New Roman" w:hAnsi="Times New Roman"/>
      <w:szCs w:val="24"/>
    </w:rPr>
  </w:style>
  <w:style w:type="paragraph" w:customStyle="1" w:styleId="18">
    <w:name w:val="修订1"/>
    <w:autoRedefine/>
    <w:hidden/>
    <w:qFormat/>
    <w:uiPriority w:val="99"/>
    <w:rPr>
      <w:rFonts w:ascii="Times New Roman" w:hAnsi="Times New Roman" w:eastAsia="宋体" w:cs="Times New Roman"/>
      <w:kern w:val="2"/>
      <w:sz w:val="21"/>
      <w:szCs w:val="24"/>
      <w:lang w:val="en-US" w:eastAsia="zh-CN" w:bidi="ar-SA"/>
    </w:rPr>
  </w:style>
  <w:style w:type="character" w:customStyle="1" w:styleId="19">
    <w:name w:val="font21"/>
    <w:basedOn w:val="8"/>
    <w:autoRedefine/>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1551</Words>
  <Characters>1671</Characters>
  <Lines>1</Lines>
  <Paragraphs>3</Paragraphs>
  <TotalTime>16</TotalTime>
  <ScaleCrop>false</ScaleCrop>
  <LinksUpToDate>false</LinksUpToDate>
  <CharactersWithSpaces>1694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2021-01-21T07:42:00Z</dcterms:created>
  <dc:creator>lenovo</dc:creator>
  <cp:lastModifiedBy>邓婷</cp:lastModifiedBy>
  <cp:lastPrinted>2024-03-11T07:49:00Z</cp:lastPrinted>
  <dcterms:modified xsi:type="dcterms:W3CDTF">2025-11-24T02:22:22Z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05A3344A75BF4096A4DCE5DEC370004C</vt:lpwstr>
  </property>
  <property fmtid="{D5CDD505-2E9C-101B-9397-08002B2CF9AE}" pid="4" name="KSOTemplateDocerSaveRecord">
    <vt:lpwstr>eyJoZGlkIjoiZTY2MWM4MWY1Nzc3YTU2NWFiNzU3MWZmM2EwMGNkMjgiLCJ1c2VySWQiOiIxMDY5MjgzMDcxIn0=</vt:lpwstr>
  </property>
</Properties>
</file>